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713" w:rsidRDefault="0019586A" w:rsidP="00DB5713">
      <w:pPr>
        <w:pStyle w:val="CRCoverPage"/>
        <w:tabs>
          <w:tab w:val="right" w:pos="9639"/>
        </w:tabs>
        <w:spacing w:after="0"/>
        <w:rPr>
          <w:b/>
          <w:i/>
          <w:noProof/>
          <w:sz w:val="28"/>
        </w:rPr>
      </w:pPr>
      <w:r>
        <w:rPr>
          <w:b/>
          <w:noProof/>
          <w:sz w:val="24"/>
        </w:rPr>
        <w:t>3GPP TSG-WG RAN4 Meeting NR ad-hoc #3</w:t>
      </w:r>
      <w:r w:rsidR="00DB5713">
        <w:rPr>
          <w:b/>
          <w:i/>
          <w:noProof/>
          <w:sz w:val="28"/>
        </w:rPr>
        <w:tab/>
      </w:r>
      <w:r w:rsidR="00DB5713" w:rsidRPr="009F1D8A">
        <w:rPr>
          <w:b/>
          <w:i/>
          <w:noProof/>
          <w:sz w:val="28"/>
        </w:rPr>
        <w:t>R4-170</w:t>
      </w:r>
      <w:r w:rsidR="009F1D8A" w:rsidRPr="009F1D8A">
        <w:rPr>
          <w:b/>
          <w:i/>
          <w:noProof/>
          <w:sz w:val="28"/>
        </w:rPr>
        <w:t>974</w:t>
      </w:r>
      <w:r w:rsidR="009F1D8A">
        <w:rPr>
          <w:b/>
          <w:i/>
          <w:noProof/>
          <w:sz w:val="28"/>
        </w:rPr>
        <w:t>3</w:t>
      </w:r>
    </w:p>
    <w:p w:rsidR="00DB5713" w:rsidRDefault="0019586A" w:rsidP="00DB5713">
      <w:pPr>
        <w:pStyle w:val="CRCoverPage"/>
        <w:outlineLvl w:val="0"/>
        <w:rPr>
          <w:b/>
          <w:noProof/>
          <w:sz w:val="24"/>
        </w:rPr>
      </w:pPr>
      <w:r>
        <w:rPr>
          <w:b/>
          <w:noProof/>
          <w:sz w:val="24"/>
        </w:rPr>
        <w:t>Nagoya</w:t>
      </w:r>
      <w:r w:rsidR="00DB5713">
        <w:rPr>
          <w:b/>
          <w:noProof/>
          <w:sz w:val="24"/>
        </w:rPr>
        <w:t xml:space="preserve">, </w:t>
      </w:r>
      <w:r>
        <w:rPr>
          <w:b/>
          <w:noProof/>
          <w:sz w:val="24"/>
        </w:rPr>
        <w:t>Japan</w:t>
      </w:r>
      <w:r w:rsidR="00DB5713">
        <w:rPr>
          <w:b/>
          <w:noProof/>
          <w:sz w:val="24"/>
        </w:rPr>
        <w:t xml:space="preserve">, </w:t>
      </w:r>
      <w:r>
        <w:rPr>
          <w:b/>
          <w:noProof/>
          <w:sz w:val="24"/>
        </w:rPr>
        <w:t>18</w:t>
      </w:r>
      <w:r>
        <w:rPr>
          <w:b/>
          <w:noProof/>
          <w:sz w:val="24"/>
          <w:vertAlign w:val="superscript"/>
        </w:rPr>
        <w:t>nd</w:t>
      </w:r>
      <w:r w:rsidR="00DB5713">
        <w:rPr>
          <w:b/>
          <w:noProof/>
          <w:sz w:val="24"/>
        </w:rPr>
        <w:t xml:space="preserve"> – 2</w:t>
      </w:r>
      <w:r>
        <w:rPr>
          <w:b/>
          <w:noProof/>
          <w:sz w:val="24"/>
        </w:rPr>
        <w:t>1</w:t>
      </w:r>
      <w:r>
        <w:rPr>
          <w:b/>
          <w:noProof/>
          <w:sz w:val="24"/>
          <w:vertAlign w:val="superscript"/>
        </w:rPr>
        <w:t>st</w:t>
      </w:r>
      <w:r w:rsidR="00DB5713">
        <w:rPr>
          <w:b/>
          <w:noProof/>
          <w:sz w:val="24"/>
        </w:rPr>
        <w:t xml:space="preserve"> </w:t>
      </w:r>
      <w:r>
        <w:rPr>
          <w:b/>
          <w:noProof/>
          <w:sz w:val="24"/>
        </w:rPr>
        <w:t>September</w:t>
      </w:r>
      <w:r w:rsidR="00DB5713">
        <w:rPr>
          <w:b/>
          <w:noProof/>
          <w:sz w:val="24"/>
        </w:rPr>
        <w:t>,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61230C">
        <w:rPr>
          <w:rFonts w:ascii="Arial" w:hAnsi="Arial" w:cs="Arial"/>
          <w:b/>
          <w:bCs/>
          <w:sz w:val="24"/>
        </w:rPr>
        <w:t xml:space="preserve">Discussion on </w:t>
      </w:r>
      <w:r w:rsidR="00585909">
        <w:rPr>
          <w:rFonts w:ascii="Arial" w:hAnsi="Arial" w:cs="Arial"/>
          <w:b/>
          <w:bCs/>
          <w:sz w:val="24"/>
        </w:rPr>
        <w:t>UL subcarrier alignment and DC subcarrier</w:t>
      </w:r>
      <w:r w:rsidR="0061230C">
        <w:rPr>
          <w:rFonts w:ascii="Arial" w:hAnsi="Arial" w:cs="Arial"/>
          <w:b/>
          <w:bCs/>
          <w:sz w:val="24"/>
        </w:rPr>
        <w:t xml:space="preserve"> </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D45B2">
        <w:rPr>
          <w:rFonts w:cs="Arial"/>
          <w:b/>
          <w:bCs/>
          <w:sz w:val="24"/>
        </w:rPr>
        <w:t>3.2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9B4CB9">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F96F32" w:rsidRPr="00FD060A" w:rsidRDefault="00DB5713" w:rsidP="008F28EF">
      <w:bookmarkStart w:id="2" w:name="OLE_LINK13"/>
      <w:bookmarkStart w:id="3" w:name="OLE_LINK14"/>
      <w:r>
        <w:t xml:space="preserve">In RAN4 </w:t>
      </w:r>
      <w:r w:rsidR="0019586A">
        <w:t>#84</w:t>
      </w:r>
      <w:r>
        <w:t xml:space="preserve"> </w:t>
      </w:r>
      <w:r w:rsidR="0019586A">
        <w:t xml:space="preserve">meeting </w:t>
      </w:r>
      <w:r>
        <w:t xml:space="preserve">in </w:t>
      </w:r>
      <w:r w:rsidR="0019586A">
        <w:t>Berlin</w:t>
      </w:r>
      <w:r w:rsidR="008F28EF">
        <w:t xml:space="preserve">, there was discussion </w:t>
      </w:r>
      <w:r w:rsidR="00AD4A47">
        <w:t>whether</w:t>
      </w:r>
      <w:r w:rsidR="00FA1CB9">
        <w:t xml:space="preserve"> </w:t>
      </w:r>
      <w:r w:rsidR="00AD4A47">
        <w:t xml:space="preserve">if </w:t>
      </w:r>
      <w:r w:rsidR="00FA1CB9">
        <w:t xml:space="preserve">further clarification on the UL subcarrier alignment was required [1] and was decided to continue to discuss the issue in </w:t>
      </w:r>
      <w:r w:rsidR="00EC509F">
        <w:t>AH#3</w:t>
      </w:r>
      <w:r w:rsidR="00FA1CB9">
        <w:t>.</w:t>
      </w:r>
    </w:p>
    <w:bookmarkEnd w:id="2"/>
    <w:bookmarkEnd w:id="3"/>
    <w:p w:rsidR="00423A6A" w:rsidRDefault="00423A6A" w:rsidP="00423A6A">
      <w:pPr>
        <w:pStyle w:val="Heading1"/>
      </w:pPr>
      <w:r>
        <w:t>2</w:t>
      </w:r>
      <w:r>
        <w:tab/>
      </w:r>
      <w:r w:rsidR="002E6D98">
        <w:t>Discussion</w:t>
      </w:r>
    </w:p>
    <w:p w:rsidR="007B7EC7" w:rsidRDefault="00FA1CB9" w:rsidP="00FA1CB9">
      <w:r>
        <w:t xml:space="preserve">There </w:t>
      </w:r>
      <w:r w:rsidR="00EE0017">
        <w:t>seems to be</w:t>
      </w:r>
      <w:r>
        <w:t xml:space="preserve"> a confus</w:t>
      </w:r>
      <w:r w:rsidR="007B7EC7">
        <w:t>ion on the channel raster</w:t>
      </w:r>
      <w:r w:rsidR="00244C7C">
        <w:t xml:space="preserve"> and </w:t>
      </w:r>
      <w:r w:rsidR="007B7EC7">
        <w:t>carrier frequency</w:t>
      </w:r>
      <w:r>
        <w:t xml:space="preserve"> in the paper [1]</w:t>
      </w:r>
      <w:r w:rsidR="007B7EC7">
        <w:t xml:space="preserve">. </w:t>
      </w:r>
      <w:r>
        <w:t xml:space="preserve">The channel raster defines a unique carrier frequency for modulation and </w:t>
      </w:r>
      <w:r w:rsidR="007B7EC7">
        <w:t>up-</w:t>
      </w:r>
      <w:r>
        <w:t xml:space="preserve">conversion, which </w:t>
      </w:r>
      <w:r w:rsidR="005636A7">
        <w:t>is</w:t>
      </w:r>
      <w:r>
        <w:t xml:space="preserve"> defined as an absolute frequency</w:t>
      </w:r>
      <w:r w:rsidR="005636A7">
        <w:t>,</w:t>
      </w:r>
      <w:r w:rsidR="00EE0017">
        <w:t xml:space="preserve"> E</w:t>
      </w:r>
      <w:r>
        <w:t xml:space="preserve">ARFCN </w:t>
      </w:r>
      <w:r w:rsidR="005636A7">
        <w:t>in</w:t>
      </w:r>
      <w:r>
        <w:t xml:space="preserve"> LTE. There </w:t>
      </w:r>
      <w:r w:rsidR="00DD45B2">
        <w:t xml:space="preserve">has </w:t>
      </w:r>
      <w:r w:rsidR="00AD4A47">
        <w:t>be</w:t>
      </w:r>
      <w:r w:rsidR="00DD45B2">
        <w:t>en</w:t>
      </w:r>
      <w:r w:rsidR="00AD4A47">
        <w:t xml:space="preserve"> </w:t>
      </w:r>
      <w:r>
        <w:t xml:space="preserve">no confusion </w:t>
      </w:r>
      <w:r w:rsidR="006100B9">
        <w:t xml:space="preserve">about </w:t>
      </w:r>
      <w:r w:rsidR="00790C87">
        <w:t xml:space="preserve">the carrier </w:t>
      </w:r>
      <w:r w:rsidR="00081EDA">
        <w:t>frequency</w:t>
      </w:r>
      <w:r w:rsidR="006100B9">
        <w:t xml:space="preserve"> </w:t>
      </w:r>
      <w:r w:rsidR="00EE0017">
        <w:t>either in RAN1 or RAN</w:t>
      </w:r>
      <w:r w:rsidR="007B7EC7">
        <w:t>4</w:t>
      </w:r>
      <w:r w:rsidR="00EE0017">
        <w:t xml:space="preserve"> specs</w:t>
      </w:r>
      <w:r w:rsidR="00E10533">
        <w:t>, though how to define the carrier number is not decided yet for the NR</w:t>
      </w:r>
      <w:r w:rsidR="00EE0017">
        <w:t>.</w:t>
      </w:r>
      <w:r w:rsidR="007B7EC7">
        <w:t xml:space="preserve"> </w:t>
      </w:r>
      <w:r w:rsidR="00BF042F">
        <w:t>Then, t</w:t>
      </w:r>
      <w:r w:rsidR="007B7EC7">
        <w:t xml:space="preserve">he subcarrier grid </w:t>
      </w:r>
      <w:r w:rsidR="00535FD9">
        <w:t>is</w:t>
      </w:r>
      <w:r w:rsidR="007B7EC7">
        <w:t xml:space="preserve"> defined in RAN1 spec and the uplink subcarrier shift of 7.5kHz will be used to have the </w:t>
      </w:r>
      <w:r w:rsidR="00C53709">
        <w:t>aligned</w:t>
      </w:r>
      <w:r w:rsidR="007B7EC7">
        <w:t xml:space="preserve"> grid</w:t>
      </w:r>
      <w:r w:rsidR="00C53709">
        <w:t xml:space="preserve"> with</w:t>
      </w:r>
      <w:r w:rsidR="007B7EC7">
        <w:t xml:space="preserve"> LTE</w:t>
      </w:r>
      <w:r w:rsidR="00790C87">
        <w:t xml:space="preserve"> as </w:t>
      </w:r>
      <w:r w:rsidR="00A72D41">
        <w:t>clarified</w:t>
      </w:r>
      <w:r w:rsidR="00790C87">
        <w:t xml:space="preserve"> in the LS [2]</w:t>
      </w:r>
      <w:r w:rsidR="007B7EC7">
        <w:t xml:space="preserve">. Therefore, one of the subcarriers (for 15kHz SCS) is located at the carrier frequency if </w:t>
      </w:r>
      <w:r w:rsidR="00AD4A47">
        <w:t>no</w:t>
      </w:r>
      <w:r w:rsidR="007B7EC7">
        <w:t xml:space="preserve"> shift is applied.</w:t>
      </w:r>
      <w:r w:rsidR="00501551">
        <w:t xml:space="preserve"> There is no ambiguity </w:t>
      </w:r>
      <w:r w:rsidR="001C176B">
        <w:t>in</w:t>
      </w:r>
      <w:r w:rsidR="00501551">
        <w:t xml:space="preserve"> subcarrier </w:t>
      </w:r>
      <w:r w:rsidR="00633114">
        <w:t>absolute frequencies.</w:t>
      </w:r>
    </w:p>
    <w:p w:rsidR="00E10533" w:rsidRDefault="00B95516" w:rsidP="00B95516">
      <w:pPr>
        <w:jc w:val="center"/>
      </w:pPr>
      <w:r>
        <w:object w:dxaOrig="8770" w:dyaOrig="5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73.6pt" o:ole="">
            <v:imagedata r:id="rId7" o:title=""/>
          </v:shape>
          <o:OLEObject Type="Embed" ProgID="Visio.Drawing.15" ShapeID="_x0000_i1025" DrawAspect="Content" ObjectID="_1566688952" r:id="rId8"/>
        </w:object>
      </w:r>
    </w:p>
    <w:p w:rsidR="00E10533" w:rsidRDefault="00E10533" w:rsidP="00B95516">
      <w:pPr>
        <w:pStyle w:val="Caption"/>
        <w:jc w:val="center"/>
      </w:pPr>
      <w:r>
        <w:t>Figure 1 Relationship of carrier frequency and subcarrier/PRB grid</w:t>
      </w:r>
    </w:p>
    <w:p w:rsidR="00482A67" w:rsidRPr="00482A67" w:rsidRDefault="00482A67" w:rsidP="00482A67">
      <w:pPr>
        <w:rPr>
          <w:lang w:val="x-none" w:eastAsia="x-none"/>
        </w:rPr>
      </w:pPr>
      <w:bookmarkStart w:id="4" w:name="_GoBack"/>
      <w:bookmarkEnd w:id="4"/>
    </w:p>
    <w:p w:rsidR="00AD4A47" w:rsidRPr="00AD4A47" w:rsidRDefault="00AD4A47" w:rsidP="00FA1CB9">
      <w:pPr>
        <w:rPr>
          <w:b/>
          <w:i/>
        </w:rPr>
      </w:pPr>
      <w:r w:rsidRPr="00AD4A47">
        <w:rPr>
          <w:b/>
          <w:i/>
        </w:rPr>
        <w:t>Observation 1: No further clarification is needed from RAN1 regarding the uplink subcarrier alignment.</w:t>
      </w:r>
    </w:p>
    <w:p w:rsidR="00AD4A47" w:rsidRDefault="00AD4A47" w:rsidP="00FA1CB9"/>
    <w:p w:rsidR="00787842" w:rsidRDefault="007B7EC7" w:rsidP="00FA1CB9">
      <w:r>
        <w:t xml:space="preserve">Further [1] discusses the LO frequencies for different UE </w:t>
      </w:r>
      <w:r w:rsidR="00162D72">
        <w:t>transmitter</w:t>
      </w:r>
      <w:r w:rsidR="00EA1570">
        <w:t xml:space="preserve"> </w:t>
      </w:r>
      <w:r w:rsidR="00585909">
        <w:t>implementations</w:t>
      </w:r>
      <w:r w:rsidR="00A72D41">
        <w:t xml:space="preserve"> for NR-LTE coexistence</w:t>
      </w:r>
      <w:r w:rsidR="00585909">
        <w:t xml:space="preserve">. </w:t>
      </w:r>
      <w:r w:rsidR="00E33615">
        <w:t>The</w:t>
      </w:r>
      <w:r w:rsidR="00787842">
        <w:t xml:space="preserve"> carrier frequency</w:t>
      </w:r>
      <w:r w:rsidR="002A7BFD">
        <w:t xml:space="preserve"> and subcarrier grid</w:t>
      </w:r>
      <w:r w:rsidR="00787842">
        <w:t xml:space="preserve"> is the same among two RATs</w:t>
      </w:r>
      <w:r w:rsidR="002A7BFD">
        <w:t xml:space="preserve"> </w:t>
      </w:r>
      <w:r w:rsidR="00E33615">
        <w:t xml:space="preserve">after </w:t>
      </w:r>
      <w:r w:rsidR="002A7BFD">
        <w:t xml:space="preserve">applying the 7.5kHz </w:t>
      </w:r>
      <w:r w:rsidR="00E33615">
        <w:t xml:space="preserve">subcarrier </w:t>
      </w:r>
      <w:r w:rsidR="00726E20">
        <w:t xml:space="preserve">grid </w:t>
      </w:r>
      <w:r w:rsidR="002A7BFD">
        <w:t>shift in the NR.</w:t>
      </w:r>
      <w:r w:rsidR="00787842">
        <w:t xml:space="preserve"> </w:t>
      </w:r>
    </w:p>
    <w:p w:rsidR="007B7EC7" w:rsidRDefault="00787842" w:rsidP="00FA1CB9">
      <w:r>
        <w:t xml:space="preserve">The LO frequency is implementation specific. It may or may not be the same as the carrier frequency. </w:t>
      </w:r>
      <w:r w:rsidR="008E2956">
        <w:t>All t</w:t>
      </w:r>
      <w:r w:rsidR="00244C7C">
        <w:t>he architectures presented</w:t>
      </w:r>
      <w:r w:rsidR="00DB364B">
        <w:t xml:space="preserve"> in [1] is</w:t>
      </w:r>
      <w:r w:rsidR="00244C7C">
        <w:t xml:space="preserve"> not excluded as far as all relevant RF requirements (such as </w:t>
      </w:r>
      <w:r w:rsidR="00974C89">
        <w:t xml:space="preserve">uplink </w:t>
      </w:r>
      <w:r w:rsidR="00244C7C">
        <w:t>EVM) are met.</w:t>
      </w:r>
    </w:p>
    <w:p w:rsidR="00244C7C" w:rsidRPr="00AD4A47" w:rsidRDefault="00244C7C" w:rsidP="00244C7C">
      <w:pPr>
        <w:rPr>
          <w:b/>
          <w:i/>
        </w:rPr>
      </w:pPr>
      <w:r w:rsidRPr="00AD4A47">
        <w:rPr>
          <w:b/>
          <w:i/>
        </w:rPr>
        <w:t xml:space="preserve">Observation </w:t>
      </w:r>
      <w:r>
        <w:rPr>
          <w:b/>
          <w:i/>
        </w:rPr>
        <w:t>2</w:t>
      </w:r>
      <w:r w:rsidRPr="00AD4A47">
        <w:rPr>
          <w:b/>
          <w:i/>
        </w:rPr>
        <w:t xml:space="preserve">: </w:t>
      </w:r>
      <w:r>
        <w:rPr>
          <w:b/>
          <w:i/>
        </w:rPr>
        <w:t>There is no restriction on frequency generation</w:t>
      </w:r>
      <w:r w:rsidR="008E2956">
        <w:rPr>
          <w:b/>
          <w:i/>
        </w:rPr>
        <w:t xml:space="preserve"> </w:t>
      </w:r>
      <w:r w:rsidR="00897F6D">
        <w:rPr>
          <w:b/>
          <w:i/>
        </w:rPr>
        <w:t xml:space="preserve">implementation </w:t>
      </w:r>
      <w:r w:rsidR="008E2956">
        <w:rPr>
          <w:b/>
          <w:i/>
        </w:rPr>
        <w:t>as far as RAN4 RF requirements are satisfied.</w:t>
      </w:r>
    </w:p>
    <w:p w:rsidR="00244C7C" w:rsidRDefault="00244C7C" w:rsidP="00FA1CB9"/>
    <w:p w:rsidR="009B4CB9" w:rsidRDefault="00162D72" w:rsidP="00FA1CB9">
      <w:r>
        <w:t xml:space="preserve">The treatment of DC subcarrier </w:t>
      </w:r>
      <w:r w:rsidR="009B4CB9">
        <w:t>agreed in NR study item</w:t>
      </w:r>
      <w:r>
        <w:t xml:space="preserve"> </w:t>
      </w:r>
      <w:r w:rsidR="005F4D83">
        <w:t xml:space="preserve">phase </w:t>
      </w:r>
      <w:r w:rsidR="00790C87">
        <w:t>[3]</w:t>
      </w:r>
      <w:r>
        <w:t xml:space="preserve"> </w:t>
      </w:r>
      <w:r w:rsidR="002F4D30">
        <w:t>is</w:t>
      </w:r>
      <w:r>
        <w:t xml:space="preserve"> included in Appendix. </w:t>
      </w:r>
      <w:r w:rsidR="008E2956">
        <w:t xml:space="preserve">In this context, DC is </w:t>
      </w:r>
      <w:r w:rsidR="009B4CB9">
        <w:t>a subcarrier affected by frequency generation, where the</w:t>
      </w:r>
      <w:r w:rsidR="008E2956">
        <w:t xml:space="preserve"> modulation quality </w:t>
      </w:r>
      <w:r w:rsidR="009B4CB9">
        <w:t>may be</w:t>
      </w:r>
      <w:r w:rsidR="008E2956">
        <w:t xml:space="preserve"> poor.</w:t>
      </w:r>
      <w:r w:rsidR="009B4CB9">
        <w:t xml:space="preserve"> It has not been discussed yet in RAN4 if the </w:t>
      </w:r>
      <w:r w:rsidR="005F4D83">
        <w:t xml:space="preserve">UL </w:t>
      </w:r>
      <w:r w:rsidR="009B4CB9">
        <w:t xml:space="preserve">DC subcarrier should be clarified </w:t>
      </w:r>
      <w:r w:rsidR="00EE6FF5">
        <w:t xml:space="preserve">in the spec </w:t>
      </w:r>
      <w:r w:rsidR="009B4CB9">
        <w:t>or should require a higher layer signaling to indicate</w:t>
      </w:r>
      <w:r w:rsidR="00EE6FF5">
        <w:t xml:space="preserve"> it</w:t>
      </w:r>
      <w:r w:rsidR="009B4CB9">
        <w:t xml:space="preserve"> to </w:t>
      </w:r>
      <w:r w:rsidR="00EE6FF5">
        <w:t xml:space="preserve">the </w:t>
      </w:r>
      <w:r w:rsidR="009B4CB9">
        <w:t>network. Furthermore, if DC subcarrier is defined, the definition of EVM (if DC is included in EVM calculation) needs to be further clarified.</w:t>
      </w:r>
    </w:p>
    <w:p w:rsidR="009B4CB9" w:rsidRPr="009B4CB9" w:rsidRDefault="003069F7" w:rsidP="00AD191C">
      <w:r>
        <w:t>As already discussed above, LO frequencies are implementation specific. For mmWave bands, the transmitter is not likely based on the direct conversion. T</w:t>
      </w:r>
      <w:r w:rsidR="00AD191C">
        <w:t xml:space="preserve">here </w:t>
      </w:r>
      <w:r>
        <w:t xml:space="preserve">would be no need of </w:t>
      </w:r>
      <w:r w:rsidR="00AD191C">
        <w:t>indicating</w:t>
      </w:r>
      <w:r>
        <w:t xml:space="preserve"> a specific subcarrier that is severely affected by the LO</w:t>
      </w:r>
      <w:r w:rsidR="00AD191C">
        <w:t xml:space="preserve"> or IF</w:t>
      </w:r>
      <w:r>
        <w:t xml:space="preserve"> frequency. For the bands below 6GHz, the direct conversion </w:t>
      </w:r>
      <w:r w:rsidR="00AD191C">
        <w:t xml:space="preserve">transmitter </w:t>
      </w:r>
      <w:r>
        <w:t xml:space="preserve">is widely used and </w:t>
      </w:r>
      <w:r w:rsidR="00AD191C">
        <w:t xml:space="preserve">the </w:t>
      </w:r>
      <w:r>
        <w:t xml:space="preserve">subcarrier </w:t>
      </w:r>
      <w:r w:rsidR="00AD191C">
        <w:t xml:space="preserve">modulated by </w:t>
      </w:r>
      <w:r>
        <w:t xml:space="preserve">the LO frequency </w:t>
      </w:r>
      <w:r w:rsidR="002F4D30">
        <w:t>could be</w:t>
      </w:r>
      <w:r>
        <w:t xml:space="preserve"> affected.</w:t>
      </w:r>
      <w:r w:rsidR="00AD191C">
        <w:t xml:space="preserve"> However, as it is also implicated in [1], LO frequency can be shifted </w:t>
      </w:r>
      <w:r w:rsidR="0023022C">
        <w:t>and</w:t>
      </w:r>
      <w:r w:rsidR="00AD191C">
        <w:t xml:space="preserve"> a </w:t>
      </w:r>
      <w:r w:rsidR="002F4D30">
        <w:t xml:space="preserve">counter </w:t>
      </w:r>
      <w:r w:rsidR="00AD191C">
        <w:t xml:space="preserve">shift to compensate it </w:t>
      </w:r>
      <w:r w:rsidR="0023022C">
        <w:t xml:space="preserve">can be done </w:t>
      </w:r>
      <w:r w:rsidR="00AD191C">
        <w:t>in the baseband.</w:t>
      </w:r>
      <w:r w:rsidR="000227E8">
        <w:t xml:space="preserve"> Even without such a trick, only one subcarrier is affected with a poor modulation quality. The impact to overall transmission bandwidth is not critical and higher layer indication cannot be justified</w:t>
      </w:r>
      <w:r w:rsidR="00651780">
        <w:t xml:space="preserve"> only </w:t>
      </w:r>
      <w:r w:rsidR="002C6DD8">
        <w:t>to benefit</w:t>
      </w:r>
      <w:r w:rsidR="00651780">
        <w:t xml:space="preserve"> some specific implementations that cannot meet </w:t>
      </w:r>
      <w:r w:rsidR="002C6DD8">
        <w:t>the requirement</w:t>
      </w:r>
      <w:r w:rsidR="00651780">
        <w:t xml:space="preserve"> such as EVM</w:t>
      </w:r>
      <w:r w:rsidR="000227E8">
        <w:t xml:space="preserve">. </w:t>
      </w:r>
      <w:r w:rsidR="00651780">
        <w:t>Therefore</w:t>
      </w:r>
      <w:r w:rsidR="00AD191C">
        <w:t xml:space="preserve">, we propose not to specify any DC </w:t>
      </w:r>
      <w:r w:rsidR="00E62DBD">
        <w:t xml:space="preserve">explicitly </w:t>
      </w:r>
      <w:r w:rsidR="00AD191C">
        <w:t xml:space="preserve">in RAN4. We also propose that EVM </w:t>
      </w:r>
      <w:r w:rsidR="00651780">
        <w:t>is calculated</w:t>
      </w:r>
      <w:r w:rsidR="002F4D30">
        <w:t xml:space="preserve"> for all the subcarriers used for transmission.</w:t>
      </w:r>
    </w:p>
    <w:p w:rsidR="002F4D30" w:rsidRPr="005F4D83" w:rsidRDefault="002F4D30" w:rsidP="002F4D30">
      <w:pPr>
        <w:rPr>
          <w:b/>
          <w:i/>
        </w:rPr>
      </w:pPr>
      <w:r w:rsidRPr="005F4D83">
        <w:rPr>
          <w:b/>
          <w:i/>
        </w:rPr>
        <w:t>Proposal 1: RAN4 specs shall be transparent to frequency generation and</w:t>
      </w:r>
      <w:r>
        <w:rPr>
          <w:b/>
          <w:i/>
        </w:rPr>
        <w:t xml:space="preserve"> an explicit</w:t>
      </w:r>
      <w:r w:rsidRPr="005F4D83">
        <w:rPr>
          <w:b/>
          <w:i/>
        </w:rPr>
        <w:t xml:space="preserve"> DC subcarrier will not be specified.</w:t>
      </w:r>
    </w:p>
    <w:p w:rsidR="0061230C" w:rsidRDefault="0061230C" w:rsidP="0061230C">
      <w:pPr>
        <w:jc w:val="both"/>
        <w:rPr>
          <w:i/>
        </w:rPr>
      </w:pPr>
    </w:p>
    <w:p w:rsidR="00FD060A" w:rsidRDefault="00FD060A" w:rsidP="00FD060A">
      <w:pPr>
        <w:pStyle w:val="Heading1"/>
      </w:pPr>
      <w:r>
        <w:t>3</w:t>
      </w:r>
      <w:r>
        <w:tab/>
        <w:t>Conclusion</w:t>
      </w:r>
    </w:p>
    <w:p w:rsidR="00AD4A47" w:rsidRDefault="00AD4A47" w:rsidP="00AD4A47">
      <w:pPr>
        <w:rPr>
          <w:b/>
          <w:i/>
        </w:rPr>
      </w:pPr>
      <w:r w:rsidRPr="00AD4A47">
        <w:rPr>
          <w:b/>
          <w:i/>
        </w:rPr>
        <w:t>Observation 1: No further clarification is needed from RAN1 regarding the uplink subcarrier alignment.</w:t>
      </w:r>
    </w:p>
    <w:p w:rsidR="008E2956" w:rsidRPr="00AD4A47" w:rsidRDefault="008E2956" w:rsidP="008E2956">
      <w:pPr>
        <w:rPr>
          <w:b/>
          <w:i/>
        </w:rPr>
      </w:pPr>
      <w:r w:rsidRPr="00AD4A47">
        <w:rPr>
          <w:b/>
          <w:i/>
        </w:rPr>
        <w:t xml:space="preserve">Observation </w:t>
      </w:r>
      <w:r>
        <w:rPr>
          <w:b/>
          <w:i/>
        </w:rPr>
        <w:t>2</w:t>
      </w:r>
      <w:r w:rsidRPr="00AD4A47">
        <w:rPr>
          <w:b/>
          <w:i/>
        </w:rPr>
        <w:t xml:space="preserve">: </w:t>
      </w:r>
      <w:r>
        <w:rPr>
          <w:b/>
          <w:i/>
        </w:rPr>
        <w:t xml:space="preserve">There is no restriction on frequency generation </w:t>
      </w:r>
      <w:r w:rsidR="00897F6D">
        <w:rPr>
          <w:b/>
          <w:i/>
        </w:rPr>
        <w:t xml:space="preserve">implementation </w:t>
      </w:r>
      <w:r>
        <w:rPr>
          <w:b/>
          <w:i/>
        </w:rPr>
        <w:t>as far as RAN4 RF requirements are satisfied.</w:t>
      </w:r>
    </w:p>
    <w:p w:rsidR="009B4CB9" w:rsidRPr="005F4D83" w:rsidRDefault="009B4CB9" w:rsidP="009B4CB9">
      <w:pPr>
        <w:rPr>
          <w:b/>
          <w:i/>
        </w:rPr>
      </w:pPr>
      <w:r w:rsidRPr="005F4D83">
        <w:rPr>
          <w:b/>
          <w:i/>
        </w:rPr>
        <w:t>Proposal 1: RAN4 specs shall be transparent to frequency generation and</w:t>
      </w:r>
      <w:r w:rsidR="002F4D30">
        <w:rPr>
          <w:b/>
          <w:i/>
        </w:rPr>
        <w:t xml:space="preserve"> an explicit</w:t>
      </w:r>
      <w:r w:rsidRPr="005F4D83">
        <w:rPr>
          <w:b/>
          <w:i/>
        </w:rPr>
        <w:t xml:space="preserve"> DC subcarrier will not be specified.</w:t>
      </w:r>
    </w:p>
    <w:p w:rsidR="00AD4A47" w:rsidRPr="00AD4A47" w:rsidRDefault="00AD4A47" w:rsidP="00AD4A47">
      <w:pPr>
        <w:rPr>
          <w:b/>
          <w:i/>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61230C" w:rsidRDefault="0061230C" w:rsidP="0061230C">
      <w:pPr>
        <w:numPr>
          <w:ilvl w:val="0"/>
          <w:numId w:val="1"/>
        </w:numPr>
        <w:spacing w:after="120"/>
        <w:jc w:val="both"/>
      </w:pPr>
      <w:r w:rsidRPr="0061230C">
        <w:t>R4-1707986</w:t>
      </w:r>
      <w:r w:rsidRPr="0061230C">
        <w:tab/>
        <w:t>Discussion on UL sub-carrier alignment</w:t>
      </w:r>
      <w:r w:rsidR="00790C87">
        <w:t>, Huawei, HiSilicon</w:t>
      </w:r>
    </w:p>
    <w:p w:rsidR="00790C87" w:rsidRDefault="00790C87" w:rsidP="00790C87">
      <w:pPr>
        <w:numPr>
          <w:ilvl w:val="0"/>
          <w:numId w:val="1"/>
        </w:numPr>
        <w:spacing w:after="120"/>
        <w:jc w:val="both"/>
      </w:pPr>
      <w:r w:rsidRPr="00790C87">
        <w:t>R1-1711839</w:t>
      </w:r>
      <w:r>
        <w:tab/>
      </w:r>
      <w:r w:rsidRPr="00790C87">
        <w:t>LS on subcarrier alignment and channel raster</w:t>
      </w:r>
    </w:p>
    <w:p w:rsidR="00162D72" w:rsidRDefault="00162D72" w:rsidP="00790C87">
      <w:pPr>
        <w:numPr>
          <w:ilvl w:val="0"/>
          <w:numId w:val="1"/>
        </w:numPr>
        <w:spacing w:after="120"/>
        <w:jc w:val="both"/>
      </w:pPr>
      <w:r>
        <w:lastRenderedPageBreak/>
        <w:t>TR 38.912</w:t>
      </w:r>
      <w:r w:rsidR="00790C87">
        <w:tab/>
      </w:r>
      <w:r w:rsidR="00790C87">
        <w:tab/>
      </w:r>
      <w:r w:rsidR="00790C87" w:rsidRPr="00790C87">
        <w:t>Study on New Radio (NR) access technology</w:t>
      </w:r>
    </w:p>
    <w:p w:rsidR="009B4CB9" w:rsidRPr="00026F99" w:rsidRDefault="009B4CB9" w:rsidP="009B4CB9">
      <w:pPr>
        <w:spacing w:after="120"/>
        <w:jc w:val="both"/>
      </w:pPr>
    </w:p>
    <w:p w:rsidR="00040D58" w:rsidRDefault="009A28A2" w:rsidP="009A28A2">
      <w:pPr>
        <w:keepNext/>
        <w:keepLines/>
        <w:pBdr>
          <w:top w:val="single" w:sz="12" w:space="3" w:color="auto"/>
        </w:pBdr>
        <w:spacing w:before="240"/>
        <w:ind w:left="1134" w:hanging="1134"/>
        <w:outlineLvl w:val="0"/>
        <w:rPr>
          <w:rFonts w:ascii="Arial" w:hAnsi="Arial"/>
          <w:sz w:val="36"/>
        </w:rPr>
      </w:pPr>
      <w:r>
        <w:rPr>
          <w:rFonts w:ascii="Arial" w:hAnsi="Arial"/>
          <w:sz w:val="36"/>
        </w:rPr>
        <w:t xml:space="preserve">Appendix: DC subcarrier description in </w:t>
      </w:r>
      <w:r w:rsidRPr="009A28A2">
        <w:rPr>
          <w:rFonts w:ascii="Arial" w:hAnsi="Arial"/>
          <w:sz w:val="36"/>
        </w:rPr>
        <w:t>TR38.912</w:t>
      </w:r>
      <w:r w:rsidR="00162D72">
        <w:rPr>
          <w:rFonts w:ascii="Arial" w:hAnsi="Arial"/>
          <w:sz w:val="36"/>
        </w:rPr>
        <w:t xml:space="preserve"> [</w:t>
      </w:r>
      <w:r w:rsidR="00790C87">
        <w:rPr>
          <w:rFonts w:ascii="Arial" w:hAnsi="Arial"/>
          <w:sz w:val="36"/>
        </w:rPr>
        <w:t>3</w:t>
      </w:r>
      <w:r w:rsidR="00162D72">
        <w:rPr>
          <w:rFonts w:ascii="Arial" w:hAnsi="Arial"/>
          <w:sz w:val="36"/>
        </w:rPr>
        <w:t>]</w:t>
      </w:r>
    </w:p>
    <w:p w:rsidR="009A28A2" w:rsidRDefault="009A28A2" w:rsidP="009A28A2">
      <w:pPr>
        <w:jc w:val="both"/>
        <w:rPr>
          <w:rFonts w:ascii="Calibri" w:eastAsia="ＭＳ 明朝" w:hAnsi="Calibri" w:cs="Times New Roman"/>
          <w:i/>
        </w:rPr>
      </w:pPr>
      <w:r>
        <w:rPr>
          <w:i/>
        </w:rPr>
        <w:t>No explicit DC subcarrier is reserved both for downlink and uplink. Regarding DC present within the transmitter, DC handling of DC subcarrier in transmitter side is specified as follows:</w:t>
      </w:r>
    </w:p>
    <w:p w:rsidR="009A28A2" w:rsidRDefault="009A28A2" w:rsidP="009A28A2">
      <w:pPr>
        <w:pStyle w:val="B1"/>
        <w:rPr>
          <w:rFonts w:eastAsia="Malgun Gothic"/>
          <w:i/>
        </w:rPr>
      </w:pPr>
      <w:r>
        <w:rPr>
          <w:rFonts w:eastAsia="Malgun Gothic"/>
          <w:i/>
        </w:rPr>
        <w:t>-</w:t>
      </w:r>
      <w:r>
        <w:rPr>
          <w:rFonts w:eastAsia="Malgun Gothic"/>
          <w:i/>
        </w:rPr>
        <w:tab/>
        <w:t>Receiver knows where DC subcarrier is or is informed (e.g., by specification or signaling) of where DC subcarrier is or if DC subcarrier is not present within receiver bandwidth</w:t>
      </w:r>
      <w:r>
        <w:rPr>
          <w:i/>
        </w:rPr>
        <w:t>.</w:t>
      </w:r>
    </w:p>
    <w:p w:rsidR="009A28A2" w:rsidRDefault="009A28A2" w:rsidP="009A28A2">
      <w:pPr>
        <w:pStyle w:val="B1"/>
        <w:rPr>
          <w:rFonts w:eastAsia="ＭＳ 明朝"/>
          <w:i/>
        </w:rPr>
      </w:pPr>
      <w:r>
        <w:rPr>
          <w:i/>
        </w:rPr>
        <w:t>-</w:t>
      </w:r>
      <w:r>
        <w:rPr>
          <w:i/>
        </w:rPr>
        <w:tab/>
        <w:t xml:space="preserve">For the downlink, </w:t>
      </w:r>
      <w:r>
        <w:rPr>
          <w:rFonts w:eastAsia="Malgun Gothic"/>
          <w:i/>
        </w:rPr>
        <w:t>UE may assume transmit</w:t>
      </w:r>
      <w:r>
        <w:rPr>
          <w:i/>
        </w:rPr>
        <w:t>ted</w:t>
      </w:r>
      <w:r>
        <w:rPr>
          <w:rFonts w:eastAsia="Malgun Gothic"/>
          <w:i/>
        </w:rPr>
        <w:t xml:space="preserve"> DC subcarrier at the transmitter (gNB) side is modulated i.e., data is neither rate-matched nor punctured.</w:t>
      </w:r>
    </w:p>
    <w:p w:rsidR="009A28A2" w:rsidRDefault="009A28A2" w:rsidP="009A28A2">
      <w:pPr>
        <w:pStyle w:val="B2"/>
        <w:rPr>
          <w:i/>
        </w:rPr>
      </w:pPr>
      <w:r>
        <w:rPr>
          <w:rFonts w:eastAsia="Malgun Gothic"/>
          <w:i/>
        </w:rPr>
        <w:t>-</w:t>
      </w:r>
      <w:r>
        <w:rPr>
          <w:rFonts w:eastAsia="Malgun Gothic"/>
          <w:i/>
        </w:rPr>
        <w:tab/>
        <w:t>Signal quality requirement (e.g., EVM) corresponding to DC subcarriers is up to RAN4</w:t>
      </w:r>
      <w:r>
        <w:rPr>
          <w:i/>
        </w:rPr>
        <w:t>.</w:t>
      </w:r>
    </w:p>
    <w:p w:rsidR="009A28A2" w:rsidRPr="009A28A2" w:rsidRDefault="009A28A2" w:rsidP="009A28A2">
      <w:pPr>
        <w:pStyle w:val="B1"/>
        <w:rPr>
          <w:rFonts w:eastAsia="Malgun Gothic"/>
          <w:i/>
        </w:rPr>
      </w:pPr>
      <w:r w:rsidRPr="009A28A2">
        <w:rPr>
          <w:i/>
        </w:rPr>
        <w:t>-</w:t>
      </w:r>
      <w:r w:rsidRPr="009A28A2">
        <w:rPr>
          <w:i/>
        </w:rPr>
        <w:tab/>
        <w:t>For the uplink, t</w:t>
      </w:r>
      <w:r w:rsidRPr="009A28A2">
        <w:rPr>
          <w:rFonts w:eastAsia="Malgun Gothic"/>
          <w:i/>
        </w:rPr>
        <w:t>ransmit</w:t>
      </w:r>
      <w:r w:rsidRPr="009A28A2">
        <w:rPr>
          <w:i/>
        </w:rPr>
        <w:t>ted</w:t>
      </w:r>
      <w:r w:rsidRPr="009A28A2">
        <w:rPr>
          <w:rFonts w:eastAsia="Malgun Gothic"/>
          <w:i/>
        </w:rPr>
        <w:t xml:space="preserve"> DC subcarrier at the transmitter (UE) side is modulated i.e., data is neither rate-matched nor punctured.</w:t>
      </w:r>
    </w:p>
    <w:p w:rsidR="009A28A2" w:rsidRPr="009A28A2" w:rsidRDefault="009A28A2" w:rsidP="009A28A2">
      <w:pPr>
        <w:pStyle w:val="B2"/>
        <w:rPr>
          <w:rFonts w:eastAsia="Malgun Gothic"/>
          <w:i/>
        </w:rPr>
      </w:pPr>
      <w:r w:rsidRPr="009A28A2">
        <w:rPr>
          <w:rFonts w:eastAsia="Malgun Gothic"/>
          <w:i/>
        </w:rPr>
        <w:t>-</w:t>
      </w:r>
      <w:r w:rsidRPr="009A28A2">
        <w:rPr>
          <w:rFonts w:eastAsia="Malgun Gothic"/>
          <w:i/>
        </w:rPr>
        <w:tab/>
        <w:t>Signal quality requirement (e.g., EVM) corresponding to DC subcarriers is up to RAN4.</w:t>
      </w:r>
    </w:p>
    <w:p w:rsidR="009A28A2" w:rsidRPr="009A28A2" w:rsidRDefault="009A28A2" w:rsidP="009A28A2">
      <w:pPr>
        <w:pStyle w:val="B1"/>
        <w:rPr>
          <w:rFonts w:eastAsia="ＭＳ 明朝"/>
          <w:i/>
        </w:rPr>
      </w:pPr>
      <w:r w:rsidRPr="009A28A2">
        <w:rPr>
          <w:i/>
        </w:rPr>
        <w:t>-</w:t>
      </w:r>
      <w:r w:rsidRPr="009A28A2">
        <w:rPr>
          <w:i/>
        </w:rPr>
        <w:tab/>
        <w:t xml:space="preserve">For the uplink, the transmitter DC subcarrier at the transmitter (UE) side should avoid collisions at least with DM-RS if possible. </w:t>
      </w:r>
    </w:p>
    <w:p w:rsidR="009A28A2" w:rsidRPr="009A28A2" w:rsidRDefault="009A28A2" w:rsidP="009A28A2">
      <w:pPr>
        <w:pStyle w:val="B1"/>
        <w:rPr>
          <w:i/>
        </w:rPr>
      </w:pPr>
      <w:r w:rsidRPr="009A28A2">
        <w:rPr>
          <w:i/>
        </w:rPr>
        <w:t>-</w:t>
      </w:r>
      <w:r w:rsidRPr="009A28A2">
        <w:rPr>
          <w:i/>
        </w:rPr>
        <w:tab/>
        <w:t>For the uplink the specification should define at least one particular subcarrier as the candidate position of DC subcarrier, e.g., DC subcarrier is located at the boundary of PRBs</w:t>
      </w:r>
    </w:p>
    <w:p w:rsidR="009A28A2" w:rsidRDefault="009A28A2" w:rsidP="009A28A2">
      <w:pPr>
        <w:pStyle w:val="B1"/>
        <w:rPr>
          <w:i/>
        </w:rPr>
      </w:pPr>
      <w:r w:rsidRPr="009A28A2">
        <w:rPr>
          <w:i/>
        </w:rPr>
        <w:t>-</w:t>
      </w:r>
      <w:r w:rsidRPr="009A28A2">
        <w:rPr>
          <w:i/>
        </w:rPr>
        <w:tab/>
        <w:t>For the uplink, means for the receiver to determine DC subcarrier location should be specified.</w:t>
      </w:r>
    </w:p>
    <w:p w:rsidR="009A28A2" w:rsidRDefault="009A28A2" w:rsidP="009A28A2">
      <w:pPr>
        <w:pStyle w:val="B2"/>
        <w:rPr>
          <w:i/>
        </w:rPr>
      </w:pPr>
      <w:r>
        <w:rPr>
          <w:i/>
        </w:rPr>
        <w:t>-</w:t>
      </w:r>
      <w:r>
        <w:rPr>
          <w:i/>
        </w:rPr>
        <w:tab/>
        <w:t>This involves semi-static signalling from UE and also standard specified DC subcarrier location.</w:t>
      </w:r>
    </w:p>
    <w:p w:rsidR="009A28A2" w:rsidRDefault="009A28A2" w:rsidP="009A28A2">
      <w:pPr>
        <w:pStyle w:val="B1"/>
        <w:rPr>
          <w:rFonts w:eastAsia="Malgun Gothic"/>
          <w:i/>
        </w:rPr>
      </w:pPr>
      <w:r>
        <w:rPr>
          <w:rFonts w:eastAsia="Malgun Gothic"/>
          <w:i/>
        </w:rPr>
        <w:t>-</w:t>
      </w:r>
      <w:r>
        <w:rPr>
          <w:rFonts w:eastAsia="Malgun Gothic"/>
          <w:i/>
        </w:rPr>
        <w:tab/>
        <w:t>When DC subcarrier is not present, all subcarriers within the receiver bandwidth are transmitted</w:t>
      </w:r>
      <w:r>
        <w:rPr>
          <w:i/>
        </w:rPr>
        <w:t>.</w:t>
      </w:r>
    </w:p>
    <w:p w:rsidR="009A28A2" w:rsidRDefault="009A28A2" w:rsidP="009A28A2">
      <w:pPr>
        <w:jc w:val="both"/>
        <w:rPr>
          <w:rFonts w:eastAsia="ＭＳ 明朝"/>
          <w:i/>
        </w:rPr>
      </w:pPr>
      <w:r>
        <w:rPr>
          <w:i/>
        </w:rPr>
        <w:t>Note that above DC subcarrier can be interpreted as DC subcarrier candidate.</w:t>
      </w:r>
    </w:p>
    <w:p w:rsidR="009A28A2" w:rsidRDefault="009A28A2" w:rsidP="009A28A2">
      <w:pPr>
        <w:jc w:val="both"/>
        <w:rPr>
          <w:i/>
        </w:rPr>
      </w:pPr>
      <w:r>
        <w:rPr>
          <w:i/>
        </w:rPr>
        <w:t>On the other hand, at the receiver side, no special handling of the DC subcarrier(s) on the receiver side is specified in RAN1. Behavior is left to implementation, i.e., the receiver may for example puncture data received on the DC subcarrier.</w:t>
      </w:r>
    </w:p>
    <w:p w:rsidR="009A28A2" w:rsidRPr="009A28A2" w:rsidRDefault="009A28A2" w:rsidP="009A28A2">
      <w:pPr>
        <w:jc w:val="both"/>
        <w:rPr>
          <w:rFonts w:ascii="Arial" w:hAnsi="Arial"/>
          <w:sz w:val="36"/>
        </w:rPr>
      </w:pPr>
      <w:r w:rsidRPr="009A28A2">
        <w:rPr>
          <w:rFonts w:ascii="Arial" w:hAnsi="Arial"/>
          <w:sz w:val="36"/>
        </w:rPr>
        <w:t xml:space="preserve"> </w:t>
      </w:r>
    </w:p>
    <w:sectPr w:rsidR="009A28A2" w:rsidRPr="009A28A2"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8D1" w:rsidRDefault="00D848D1">
      <w:r>
        <w:separator/>
      </w:r>
    </w:p>
  </w:endnote>
  <w:endnote w:type="continuationSeparator" w:id="0">
    <w:p w:rsidR="00D848D1" w:rsidRDefault="00D8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8D1" w:rsidRDefault="00D848D1">
      <w:r>
        <w:separator/>
      </w:r>
    </w:p>
  </w:footnote>
  <w:footnote w:type="continuationSeparator" w:id="0">
    <w:p w:rsidR="00D848D1" w:rsidRDefault="00D84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112AD9"/>
    <w:multiLevelType w:val="hybridMultilevel"/>
    <w:tmpl w:val="F2066FC2"/>
    <w:lvl w:ilvl="0" w:tplc="C1B006E4">
      <w:start w:val="1"/>
      <w:numFmt w:val="bullet"/>
      <w:lvlText w:val="•"/>
      <w:lvlJc w:val="left"/>
      <w:pPr>
        <w:tabs>
          <w:tab w:val="num" w:pos="720"/>
        </w:tabs>
        <w:ind w:left="720" w:hanging="360"/>
      </w:pPr>
      <w:rPr>
        <w:rFonts w:ascii="Arial" w:hAnsi="Arial" w:hint="default"/>
      </w:rPr>
    </w:lvl>
    <w:lvl w:ilvl="1" w:tplc="CDF00352">
      <w:numFmt w:val="bullet"/>
      <w:lvlText w:val="•"/>
      <w:lvlJc w:val="left"/>
      <w:pPr>
        <w:tabs>
          <w:tab w:val="num" w:pos="1440"/>
        </w:tabs>
        <w:ind w:left="1440" w:hanging="360"/>
      </w:pPr>
      <w:rPr>
        <w:rFonts w:ascii="Arial" w:hAnsi="Arial" w:hint="default"/>
      </w:rPr>
    </w:lvl>
    <w:lvl w:ilvl="2" w:tplc="C6484FA6" w:tentative="1">
      <w:start w:val="1"/>
      <w:numFmt w:val="bullet"/>
      <w:lvlText w:val="•"/>
      <w:lvlJc w:val="left"/>
      <w:pPr>
        <w:tabs>
          <w:tab w:val="num" w:pos="2160"/>
        </w:tabs>
        <w:ind w:left="2160" w:hanging="360"/>
      </w:pPr>
      <w:rPr>
        <w:rFonts w:ascii="Arial" w:hAnsi="Arial" w:hint="default"/>
      </w:rPr>
    </w:lvl>
    <w:lvl w:ilvl="3" w:tplc="F266BDC2" w:tentative="1">
      <w:start w:val="1"/>
      <w:numFmt w:val="bullet"/>
      <w:lvlText w:val="•"/>
      <w:lvlJc w:val="left"/>
      <w:pPr>
        <w:tabs>
          <w:tab w:val="num" w:pos="2880"/>
        </w:tabs>
        <w:ind w:left="2880" w:hanging="360"/>
      </w:pPr>
      <w:rPr>
        <w:rFonts w:ascii="Arial" w:hAnsi="Arial" w:hint="default"/>
      </w:rPr>
    </w:lvl>
    <w:lvl w:ilvl="4" w:tplc="4126BFF6" w:tentative="1">
      <w:start w:val="1"/>
      <w:numFmt w:val="bullet"/>
      <w:lvlText w:val="•"/>
      <w:lvlJc w:val="left"/>
      <w:pPr>
        <w:tabs>
          <w:tab w:val="num" w:pos="3600"/>
        </w:tabs>
        <w:ind w:left="3600" w:hanging="360"/>
      </w:pPr>
      <w:rPr>
        <w:rFonts w:ascii="Arial" w:hAnsi="Arial" w:hint="default"/>
      </w:rPr>
    </w:lvl>
    <w:lvl w:ilvl="5" w:tplc="D80CED14" w:tentative="1">
      <w:start w:val="1"/>
      <w:numFmt w:val="bullet"/>
      <w:lvlText w:val="•"/>
      <w:lvlJc w:val="left"/>
      <w:pPr>
        <w:tabs>
          <w:tab w:val="num" w:pos="4320"/>
        </w:tabs>
        <w:ind w:left="4320" w:hanging="360"/>
      </w:pPr>
      <w:rPr>
        <w:rFonts w:ascii="Arial" w:hAnsi="Arial" w:hint="default"/>
      </w:rPr>
    </w:lvl>
    <w:lvl w:ilvl="6" w:tplc="B6289206" w:tentative="1">
      <w:start w:val="1"/>
      <w:numFmt w:val="bullet"/>
      <w:lvlText w:val="•"/>
      <w:lvlJc w:val="left"/>
      <w:pPr>
        <w:tabs>
          <w:tab w:val="num" w:pos="5040"/>
        </w:tabs>
        <w:ind w:left="5040" w:hanging="360"/>
      </w:pPr>
      <w:rPr>
        <w:rFonts w:ascii="Arial" w:hAnsi="Arial" w:hint="default"/>
      </w:rPr>
    </w:lvl>
    <w:lvl w:ilvl="7" w:tplc="66AC2C36" w:tentative="1">
      <w:start w:val="1"/>
      <w:numFmt w:val="bullet"/>
      <w:lvlText w:val="•"/>
      <w:lvlJc w:val="left"/>
      <w:pPr>
        <w:tabs>
          <w:tab w:val="num" w:pos="5760"/>
        </w:tabs>
        <w:ind w:left="5760" w:hanging="360"/>
      </w:pPr>
      <w:rPr>
        <w:rFonts w:ascii="Arial" w:hAnsi="Arial" w:hint="default"/>
      </w:rPr>
    </w:lvl>
    <w:lvl w:ilvl="8" w:tplc="893C58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8D7404"/>
    <w:multiLevelType w:val="hybridMultilevel"/>
    <w:tmpl w:val="34B0A63E"/>
    <w:lvl w:ilvl="0" w:tplc="359AE090">
      <w:start w:val="1"/>
      <w:numFmt w:val="bullet"/>
      <w:lvlText w:val="•"/>
      <w:lvlJc w:val="left"/>
      <w:pPr>
        <w:tabs>
          <w:tab w:val="num" w:pos="720"/>
        </w:tabs>
        <w:ind w:left="720" w:hanging="360"/>
      </w:pPr>
      <w:rPr>
        <w:rFonts w:ascii="Arial" w:hAnsi="Arial" w:hint="default"/>
      </w:rPr>
    </w:lvl>
    <w:lvl w:ilvl="1" w:tplc="9B2A49B2">
      <w:numFmt w:val="bullet"/>
      <w:lvlText w:val="•"/>
      <w:lvlJc w:val="left"/>
      <w:pPr>
        <w:tabs>
          <w:tab w:val="num" w:pos="1440"/>
        </w:tabs>
        <w:ind w:left="1440" w:hanging="360"/>
      </w:pPr>
      <w:rPr>
        <w:rFonts w:ascii="Arial" w:hAnsi="Arial" w:hint="default"/>
      </w:rPr>
    </w:lvl>
    <w:lvl w:ilvl="2" w:tplc="C35ADFA8" w:tentative="1">
      <w:start w:val="1"/>
      <w:numFmt w:val="bullet"/>
      <w:lvlText w:val="•"/>
      <w:lvlJc w:val="left"/>
      <w:pPr>
        <w:tabs>
          <w:tab w:val="num" w:pos="2160"/>
        </w:tabs>
        <w:ind w:left="2160" w:hanging="360"/>
      </w:pPr>
      <w:rPr>
        <w:rFonts w:ascii="Arial" w:hAnsi="Arial" w:hint="default"/>
      </w:rPr>
    </w:lvl>
    <w:lvl w:ilvl="3" w:tplc="D662FBDA" w:tentative="1">
      <w:start w:val="1"/>
      <w:numFmt w:val="bullet"/>
      <w:lvlText w:val="•"/>
      <w:lvlJc w:val="left"/>
      <w:pPr>
        <w:tabs>
          <w:tab w:val="num" w:pos="2880"/>
        </w:tabs>
        <w:ind w:left="2880" w:hanging="360"/>
      </w:pPr>
      <w:rPr>
        <w:rFonts w:ascii="Arial" w:hAnsi="Arial" w:hint="default"/>
      </w:rPr>
    </w:lvl>
    <w:lvl w:ilvl="4" w:tplc="A25E9356" w:tentative="1">
      <w:start w:val="1"/>
      <w:numFmt w:val="bullet"/>
      <w:lvlText w:val="•"/>
      <w:lvlJc w:val="left"/>
      <w:pPr>
        <w:tabs>
          <w:tab w:val="num" w:pos="3600"/>
        </w:tabs>
        <w:ind w:left="3600" w:hanging="360"/>
      </w:pPr>
      <w:rPr>
        <w:rFonts w:ascii="Arial" w:hAnsi="Arial" w:hint="default"/>
      </w:rPr>
    </w:lvl>
    <w:lvl w:ilvl="5" w:tplc="DE4C86CC" w:tentative="1">
      <w:start w:val="1"/>
      <w:numFmt w:val="bullet"/>
      <w:lvlText w:val="•"/>
      <w:lvlJc w:val="left"/>
      <w:pPr>
        <w:tabs>
          <w:tab w:val="num" w:pos="4320"/>
        </w:tabs>
        <w:ind w:left="4320" w:hanging="360"/>
      </w:pPr>
      <w:rPr>
        <w:rFonts w:ascii="Arial" w:hAnsi="Arial" w:hint="default"/>
      </w:rPr>
    </w:lvl>
    <w:lvl w:ilvl="6" w:tplc="DB64481C" w:tentative="1">
      <w:start w:val="1"/>
      <w:numFmt w:val="bullet"/>
      <w:lvlText w:val="•"/>
      <w:lvlJc w:val="left"/>
      <w:pPr>
        <w:tabs>
          <w:tab w:val="num" w:pos="5040"/>
        </w:tabs>
        <w:ind w:left="5040" w:hanging="360"/>
      </w:pPr>
      <w:rPr>
        <w:rFonts w:ascii="Arial" w:hAnsi="Arial" w:hint="default"/>
      </w:rPr>
    </w:lvl>
    <w:lvl w:ilvl="7" w:tplc="DA8473E8" w:tentative="1">
      <w:start w:val="1"/>
      <w:numFmt w:val="bullet"/>
      <w:lvlText w:val="•"/>
      <w:lvlJc w:val="left"/>
      <w:pPr>
        <w:tabs>
          <w:tab w:val="num" w:pos="5760"/>
        </w:tabs>
        <w:ind w:left="5760" w:hanging="360"/>
      </w:pPr>
      <w:rPr>
        <w:rFonts w:ascii="Arial" w:hAnsi="Arial" w:hint="default"/>
      </w:rPr>
    </w:lvl>
    <w:lvl w:ilvl="8" w:tplc="E42057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522FE"/>
    <w:multiLevelType w:val="hybridMultilevel"/>
    <w:tmpl w:val="3CF0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F8325B"/>
    <w:multiLevelType w:val="hybridMultilevel"/>
    <w:tmpl w:val="FC308A86"/>
    <w:lvl w:ilvl="0" w:tplc="8A7C2FF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8"/>
  </w:num>
  <w:num w:numId="4">
    <w:abstractNumId w:val="34"/>
  </w:num>
  <w:num w:numId="5">
    <w:abstractNumId w:val="39"/>
  </w:num>
  <w:num w:numId="6">
    <w:abstractNumId w:val="29"/>
  </w:num>
  <w:num w:numId="7">
    <w:abstractNumId w:val="7"/>
  </w:num>
  <w:num w:numId="8">
    <w:abstractNumId w:val="13"/>
  </w:num>
  <w:num w:numId="9">
    <w:abstractNumId w:val="26"/>
  </w:num>
  <w:num w:numId="10">
    <w:abstractNumId w:val="26"/>
    <w:lvlOverride w:ilvl="0">
      <w:startOverride w:val="1"/>
    </w:lvlOverride>
  </w:num>
  <w:num w:numId="11">
    <w:abstractNumId w:val="32"/>
  </w:num>
  <w:num w:numId="12">
    <w:abstractNumId w:val="25"/>
  </w:num>
  <w:num w:numId="13">
    <w:abstractNumId w:val="14"/>
  </w:num>
  <w:num w:numId="14">
    <w:abstractNumId w:val="27"/>
  </w:num>
  <w:num w:numId="15">
    <w:abstractNumId w:val="16"/>
  </w:num>
  <w:num w:numId="16">
    <w:abstractNumId w:val="10"/>
  </w:num>
  <w:num w:numId="17">
    <w:abstractNumId w:val="6"/>
  </w:num>
  <w:num w:numId="18">
    <w:abstractNumId w:val="30"/>
  </w:num>
  <w:num w:numId="19">
    <w:abstractNumId w:val="17"/>
  </w:num>
  <w:num w:numId="20">
    <w:abstractNumId w:val="24"/>
  </w:num>
  <w:num w:numId="21">
    <w:abstractNumId w:val="31"/>
  </w:num>
  <w:num w:numId="22">
    <w:abstractNumId w:val="38"/>
  </w:num>
  <w:num w:numId="23">
    <w:abstractNumId w:val="19"/>
  </w:num>
  <w:num w:numId="24">
    <w:abstractNumId w:val="9"/>
  </w:num>
  <w:num w:numId="25">
    <w:abstractNumId w:val="28"/>
  </w:num>
  <w:num w:numId="26">
    <w:abstractNumId w:val="5"/>
  </w:num>
  <w:num w:numId="27">
    <w:abstractNumId w:val="1"/>
  </w:num>
  <w:num w:numId="28">
    <w:abstractNumId w:val="12"/>
  </w:num>
  <w:num w:numId="29">
    <w:abstractNumId w:val="22"/>
  </w:num>
  <w:num w:numId="30">
    <w:abstractNumId w:val="4"/>
  </w:num>
  <w:num w:numId="31">
    <w:abstractNumId w:val="0"/>
  </w:num>
  <w:num w:numId="32">
    <w:abstractNumId w:val="3"/>
  </w:num>
  <w:num w:numId="33">
    <w:abstractNumId w:val="37"/>
  </w:num>
  <w:num w:numId="34">
    <w:abstractNumId w:val="11"/>
  </w:num>
  <w:num w:numId="35">
    <w:abstractNumId w:val="21"/>
  </w:num>
  <w:num w:numId="36">
    <w:abstractNumId w:val="33"/>
  </w:num>
  <w:num w:numId="37">
    <w:abstractNumId w:val="23"/>
  </w:num>
  <w:num w:numId="38">
    <w:abstractNumId w:val="15"/>
  </w:num>
  <w:num w:numId="39">
    <w:abstractNumId w:val="20"/>
  </w:num>
  <w:num w:numId="40">
    <w:abstractNumId w:val="35"/>
  </w:num>
  <w:num w:numId="41">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3"/>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7E8"/>
    <w:rsid w:val="00022C9F"/>
    <w:rsid w:val="00024A33"/>
    <w:rsid w:val="00024DC6"/>
    <w:rsid w:val="000253FC"/>
    <w:rsid w:val="0002562D"/>
    <w:rsid w:val="00025B5C"/>
    <w:rsid w:val="00025D50"/>
    <w:rsid w:val="00026222"/>
    <w:rsid w:val="00026794"/>
    <w:rsid w:val="000269F3"/>
    <w:rsid w:val="00026F99"/>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0D58"/>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878"/>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E47"/>
    <w:rsid w:val="00081EDA"/>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1B4E"/>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53B2"/>
    <w:rsid w:val="000D619B"/>
    <w:rsid w:val="000D68B6"/>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21AF"/>
    <w:rsid w:val="00162D72"/>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B0A"/>
    <w:rsid w:val="00193DD4"/>
    <w:rsid w:val="00194A0C"/>
    <w:rsid w:val="00194D78"/>
    <w:rsid w:val="00195416"/>
    <w:rsid w:val="0019579C"/>
    <w:rsid w:val="0019586A"/>
    <w:rsid w:val="00195E78"/>
    <w:rsid w:val="00196076"/>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76B"/>
    <w:rsid w:val="001C1F43"/>
    <w:rsid w:val="001C2794"/>
    <w:rsid w:val="001C30FB"/>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BDA"/>
    <w:rsid w:val="00221C3A"/>
    <w:rsid w:val="00222903"/>
    <w:rsid w:val="00222A7A"/>
    <w:rsid w:val="00223E0D"/>
    <w:rsid w:val="0022436C"/>
    <w:rsid w:val="00224A2C"/>
    <w:rsid w:val="00224E2B"/>
    <w:rsid w:val="00225164"/>
    <w:rsid w:val="0022528F"/>
    <w:rsid w:val="002261E5"/>
    <w:rsid w:val="00226BF0"/>
    <w:rsid w:val="0023022C"/>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7C"/>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A78E4"/>
    <w:rsid w:val="002A7BFD"/>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DD8"/>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DE8"/>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4D30"/>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69F7"/>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88B"/>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291"/>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96689"/>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97A"/>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595"/>
    <w:rsid w:val="0040697D"/>
    <w:rsid w:val="00406ED2"/>
    <w:rsid w:val="00410094"/>
    <w:rsid w:val="00410416"/>
    <w:rsid w:val="004107ED"/>
    <w:rsid w:val="00410E03"/>
    <w:rsid w:val="004111BD"/>
    <w:rsid w:val="00412590"/>
    <w:rsid w:val="00412765"/>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2A67"/>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6BD"/>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34C"/>
    <w:rsid w:val="004F43EA"/>
    <w:rsid w:val="004F48B8"/>
    <w:rsid w:val="004F5835"/>
    <w:rsid w:val="004F6291"/>
    <w:rsid w:val="004F6AFD"/>
    <w:rsid w:val="004F6D60"/>
    <w:rsid w:val="004F6D6D"/>
    <w:rsid w:val="004F75CE"/>
    <w:rsid w:val="004F7B4B"/>
    <w:rsid w:val="00500684"/>
    <w:rsid w:val="0050071D"/>
    <w:rsid w:val="00500F7D"/>
    <w:rsid w:val="00501551"/>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5FD9"/>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6A7"/>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43CA"/>
    <w:rsid w:val="0058496C"/>
    <w:rsid w:val="00584F87"/>
    <w:rsid w:val="00585909"/>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6684"/>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F073B"/>
    <w:rsid w:val="005F085D"/>
    <w:rsid w:val="005F0A0B"/>
    <w:rsid w:val="005F0D07"/>
    <w:rsid w:val="005F0E4E"/>
    <w:rsid w:val="005F15B7"/>
    <w:rsid w:val="005F1BEA"/>
    <w:rsid w:val="005F30A0"/>
    <w:rsid w:val="005F366E"/>
    <w:rsid w:val="005F3814"/>
    <w:rsid w:val="005F4403"/>
    <w:rsid w:val="005F4D8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0B9"/>
    <w:rsid w:val="006103DB"/>
    <w:rsid w:val="006106A7"/>
    <w:rsid w:val="00610E1D"/>
    <w:rsid w:val="00611BD4"/>
    <w:rsid w:val="00611E0B"/>
    <w:rsid w:val="0061230C"/>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114"/>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12A"/>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780"/>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1AAA"/>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64"/>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6E20"/>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87842"/>
    <w:rsid w:val="007906C3"/>
    <w:rsid w:val="007909D7"/>
    <w:rsid w:val="00790C8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B2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C7"/>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E6A"/>
    <w:rsid w:val="00853FE7"/>
    <w:rsid w:val="0085450D"/>
    <w:rsid w:val="0085452C"/>
    <w:rsid w:val="008551A7"/>
    <w:rsid w:val="008556AB"/>
    <w:rsid w:val="0085597F"/>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97F6D"/>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2956"/>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8EF"/>
    <w:rsid w:val="008F2E9B"/>
    <w:rsid w:val="008F315F"/>
    <w:rsid w:val="008F3700"/>
    <w:rsid w:val="008F42A5"/>
    <w:rsid w:val="008F4992"/>
    <w:rsid w:val="008F5959"/>
    <w:rsid w:val="008F64BA"/>
    <w:rsid w:val="008F6514"/>
    <w:rsid w:val="008F6840"/>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515A"/>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48B"/>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C89"/>
    <w:rsid w:val="00974F09"/>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8A2"/>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4CB9"/>
    <w:rsid w:val="009B5F01"/>
    <w:rsid w:val="009B6538"/>
    <w:rsid w:val="009B7ABB"/>
    <w:rsid w:val="009B7B48"/>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122C"/>
    <w:rsid w:val="009D14D0"/>
    <w:rsid w:val="009D1832"/>
    <w:rsid w:val="009D1D10"/>
    <w:rsid w:val="009D22FC"/>
    <w:rsid w:val="009D240A"/>
    <w:rsid w:val="009D41A9"/>
    <w:rsid w:val="009D444F"/>
    <w:rsid w:val="009D4A84"/>
    <w:rsid w:val="009D6461"/>
    <w:rsid w:val="009D698E"/>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D8A"/>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D41"/>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91C"/>
    <w:rsid w:val="00AD1CE3"/>
    <w:rsid w:val="00AD1FE1"/>
    <w:rsid w:val="00AD24AB"/>
    <w:rsid w:val="00AD27A7"/>
    <w:rsid w:val="00AD32C0"/>
    <w:rsid w:val="00AD3848"/>
    <w:rsid w:val="00AD3990"/>
    <w:rsid w:val="00AD3CAD"/>
    <w:rsid w:val="00AD413D"/>
    <w:rsid w:val="00AD48E3"/>
    <w:rsid w:val="00AD4A47"/>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69F"/>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30C"/>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516"/>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42F"/>
    <w:rsid w:val="00BF0C64"/>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81C"/>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709"/>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C7446"/>
    <w:rsid w:val="00CD003E"/>
    <w:rsid w:val="00CD005E"/>
    <w:rsid w:val="00CD0470"/>
    <w:rsid w:val="00CD12EC"/>
    <w:rsid w:val="00CD177D"/>
    <w:rsid w:val="00CD259E"/>
    <w:rsid w:val="00CD2AD8"/>
    <w:rsid w:val="00CD35E6"/>
    <w:rsid w:val="00CD40C4"/>
    <w:rsid w:val="00CD41A9"/>
    <w:rsid w:val="00CD4710"/>
    <w:rsid w:val="00CD4B26"/>
    <w:rsid w:val="00CD54A2"/>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8D1"/>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86B"/>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64B"/>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5B2"/>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0533"/>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3615"/>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1B4"/>
    <w:rsid w:val="00E54D5E"/>
    <w:rsid w:val="00E57BAF"/>
    <w:rsid w:val="00E61342"/>
    <w:rsid w:val="00E61961"/>
    <w:rsid w:val="00E62033"/>
    <w:rsid w:val="00E62369"/>
    <w:rsid w:val="00E626CB"/>
    <w:rsid w:val="00E62DBD"/>
    <w:rsid w:val="00E630D7"/>
    <w:rsid w:val="00E63979"/>
    <w:rsid w:val="00E640CC"/>
    <w:rsid w:val="00E65B52"/>
    <w:rsid w:val="00E66098"/>
    <w:rsid w:val="00E664B1"/>
    <w:rsid w:val="00E6686F"/>
    <w:rsid w:val="00E674C4"/>
    <w:rsid w:val="00E675D3"/>
    <w:rsid w:val="00E67C1A"/>
    <w:rsid w:val="00E7015F"/>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570"/>
    <w:rsid w:val="00EA1D43"/>
    <w:rsid w:val="00EA2295"/>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09F"/>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017"/>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6FF5"/>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236"/>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CB9"/>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CD44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FD9"/>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35F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5FD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0">
    <w:name w:val="B1 (文字)"/>
    <w:uiPriority w:val="99"/>
    <w:locked/>
    <w:rsid w:val="00612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878540362">
          <w:marLeft w:val="547"/>
          <w:marRight w:val="0"/>
          <w:marTop w:val="130"/>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4261458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109396607">
          <w:marLeft w:val="1166"/>
          <w:marRight w:val="0"/>
          <w:marTop w:val="134"/>
          <w:marBottom w:val="0"/>
          <w:divBdr>
            <w:top w:val="none" w:sz="0" w:space="0" w:color="auto"/>
            <w:left w:val="none" w:sz="0" w:space="0" w:color="auto"/>
            <w:bottom w:val="none" w:sz="0" w:space="0" w:color="auto"/>
            <w:right w:val="none" w:sz="0" w:space="0" w:color="auto"/>
          </w:divBdr>
        </w:div>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7943832">
      <w:bodyDiv w:val="1"/>
      <w:marLeft w:val="0"/>
      <w:marRight w:val="0"/>
      <w:marTop w:val="0"/>
      <w:marBottom w:val="0"/>
      <w:divBdr>
        <w:top w:val="none" w:sz="0" w:space="0" w:color="auto"/>
        <w:left w:val="none" w:sz="0" w:space="0" w:color="auto"/>
        <w:bottom w:val="none" w:sz="0" w:space="0" w:color="auto"/>
        <w:right w:val="none" w:sz="0" w:space="0" w:color="auto"/>
      </w:divBdr>
      <w:divsChild>
        <w:div w:id="1806124014">
          <w:marLeft w:val="1080"/>
          <w:marRight w:val="0"/>
          <w:marTop w:val="100"/>
          <w:marBottom w:val="0"/>
          <w:divBdr>
            <w:top w:val="none" w:sz="0" w:space="0" w:color="auto"/>
            <w:left w:val="none" w:sz="0" w:space="0" w:color="auto"/>
            <w:bottom w:val="none" w:sz="0" w:space="0" w:color="auto"/>
            <w:right w:val="none" w:sz="0" w:space="0" w:color="auto"/>
          </w:divBdr>
        </w:div>
        <w:div w:id="1914587085">
          <w:marLeft w:val="360"/>
          <w:marRight w:val="0"/>
          <w:marTop w:val="20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6712845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135659">
      <w:bodyDiv w:val="1"/>
      <w:marLeft w:val="0"/>
      <w:marRight w:val="0"/>
      <w:marTop w:val="0"/>
      <w:marBottom w:val="0"/>
      <w:divBdr>
        <w:top w:val="none" w:sz="0" w:space="0" w:color="auto"/>
        <w:left w:val="none" w:sz="0" w:space="0" w:color="auto"/>
        <w:bottom w:val="none" w:sz="0" w:space="0" w:color="auto"/>
        <w:right w:val="none" w:sz="0" w:space="0" w:color="auto"/>
      </w:divBdr>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0998975">
      <w:bodyDiv w:val="1"/>
      <w:marLeft w:val="0"/>
      <w:marRight w:val="0"/>
      <w:marTop w:val="0"/>
      <w:marBottom w:val="0"/>
      <w:divBdr>
        <w:top w:val="none" w:sz="0" w:space="0" w:color="auto"/>
        <w:left w:val="none" w:sz="0" w:space="0" w:color="auto"/>
        <w:bottom w:val="none" w:sz="0" w:space="0" w:color="auto"/>
        <w:right w:val="none" w:sz="0" w:space="0" w:color="auto"/>
      </w:divBdr>
      <w:divsChild>
        <w:div w:id="1561861809">
          <w:marLeft w:val="360"/>
          <w:marRight w:val="0"/>
          <w:marTop w:val="200"/>
          <w:marBottom w:val="0"/>
          <w:divBdr>
            <w:top w:val="none" w:sz="0" w:space="0" w:color="auto"/>
            <w:left w:val="none" w:sz="0" w:space="0" w:color="auto"/>
            <w:bottom w:val="none" w:sz="0" w:space="0" w:color="auto"/>
            <w:right w:val="none" w:sz="0" w:space="0" w:color="auto"/>
          </w:divBdr>
        </w:div>
        <w:div w:id="1787695919">
          <w:marLeft w:val="1080"/>
          <w:marRight w:val="0"/>
          <w:marTop w:val="100"/>
          <w:marBottom w:val="0"/>
          <w:divBdr>
            <w:top w:val="none" w:sz="0" w:space="0" w:color="auto"/>
            <w:left w:val="none" w:sz="0" w:space="0" w:color="auto"/>
            <w:bottom w:val="none" w:sz="0" w:space="0" w:color="auto"/>
            <w:right w:val="none" w:sz="0" w:space="0" w:color="auto"/>
          </w:divBdr>
        </w:div>
        <w:div w:id="1870682287">
          <w:marLeft w:val="1080"/>
          <w:marRight w:val="0"/>
          <w:marTop w:val="100"/>
          <w:marBottom w:val="0"/>
          <w:divBdr>
            <w:top w:val="none" w:sz="0" w:space="0" w:color="auto"/>
            <w:left w:val="none" w:sz="0" w:space="0" w:color="auto"/>
            <w:bottom w:val="none" w:sz="0" w:space="0" w:color="auto"/>
            <w:right w:val="none" w:sz="0" w:space="0" w:color="auto"/>
          </w:divBdr>
        </w:div>
        <w:div w:id="1895769094">
          <w:marLeft w:val="1080"/>
          <w:marRight w:val="0"/>
          <w:marTop w:val="10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367995986">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730234499">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17133673">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354231813">
          <w:marLeft w:val="547"/>
          <w:marRight w:val="0"/>
          <w:marTop w:val="106"/>
          <w:marBottom w:val="0"/>
          <w:divBdr>
            <w:top w:val="none" w:sz="0" w:space="0" w:color="auto"/>
            <w:left w:val="none" w:sz="0" w:space="0" w:color="auto"/>
            <w:bottom w:val="none" w:sz="0" w:space="0" w:color="auto"/>
            <w:right w:val="none" w:sz="0" w:space="0" w:color="auto"/>
          </w:divBdr>
        </w:div>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2017-09-06T04:30:00Z</dcterms:created>
  <dcterms:modified xsi:type="dcterms:W3CDTF">2017-09-11T17:35:00Z</dcterms:modified>
</cp:coreProperties>
</file>